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8FD5" w14:textId="60CD4F2A" w:rsidR="00D71091" w:rsidRDefault="005C444C">
      <w:bookmarkStart w:id="0" w:name="_GoBack"/>
      <w:bookmarkEnd w:id="0"/>
      <w:r>
        <w:t xml:space="preserve">STATUS FOR FINANSIERING AV FORSKNINGSPROSJEKTET </w:t>
      </w:r>
      <w:r w:rsidRPr="00961C69">
        <w:rPr>
          <w:b/>
          <w:bCs/>
        </w:rPr>
        <w:t>LHBT I FOLLO</w:t>
      </w:r>
    </w:p>
    <w:p w14:paraId="1439D63F" w14:textId="68F00C6A" w:rsidR="005C444C" w:rsidRDefault="005C444C">
      <w:r>
        <w:t>Sist oppdatert: 27. mai 2020.</w:t>
      </w:r>
    </w:p>
    <w:p w14:paraId="5C192382" w14:textId="4B742CBC" w:rsidR="005C444C" w:rsidRDefault="005C444C"/>
    <w:p w14:paraId="6802011E" w14:textId="7CE55279" w:rsidR="0070507F" w:rsidRDefault="005C444C">
      <w:r>
        <w:t>Vedlagt føl</w:t>
      </w:r>
      <w:r w:rsidR="00CC0268">
        <w:t>g</w:t>
      </w:r>
      <w:r>
        <w:t xml:space="preserve">er et oppdatert budsjett, som representerer en ramme på 4,2 millioner kroner. Dette er lavere enn det som tidligere er meldt til Follorådet basert på en generell anbefalt ramme fra Forskningsrådet (4,8 </w:t>
      </w:r>
      <w:proofErr w:type="spellStart"/>
      <w:r>
        <w:t>mill</w:t>
      </w:r>
      <w:proofErr w:type="spellEnd"/>
      <w:r>
        <w:t>) for et doktorgradsprosjekt. Det er ikke overraskende at Follo-prosjektet har lavere kostnader, siden metodene er billigere, og at tilgangen til relevante ansatte/informanter i kommunene underveis i prosjektet er noe involverte kommuner stiller til disposisjon for prosjektet.</w:t>
      </w:r>
      <w:r w:rsidR="00F9255E">
        <w:t xml:space="preserve"> </w:t>
      </w:r>
      <w:r>
        <w:t>Vedlagt budsjett dekker kjente utgifter, og inntektsdekningen fra Sparebankstiftelsen og Høyskolen Kristiania på nærmere 2,9 millioner kroner.</w:t>
      </w:r>
      <w:r w:rsidR="0070507F">
        <w:t xml:space="preserve"> Det innebærer at prosjektet per nå er på god vei til å bli fullfinansiert</w:t>
      </w:r>
      <w:r>
        <w:t>.</w:t>
      </w:r>
      <w:r w:rsidR="00F9255E">
        <w:t xml:space="preserve"> </w:t>
      </w:r>
      <w:r w:rsidR="0070507F">
        <w:t>Det mangler imidlertid rundt 1,3 millioner kroner. Det planlegges derfor å søke offentlig doktorgradsstipend fra Forskningsrådet i januar 2021 med to måneders behandlingstid</w:t>
      </w:r>
      <w:r w:rsidR="00F4217B">
        <w:t>. Derfor er prosjektstart i budsjettet satt til 1. mars 2021</w:t>
      </w:r>
      <w:r w:rsidR="0070507F">
        <w:t>. Høyskolen Kristiania er også i dialog med Viken om de nyopprettede regionale forskningsfondene som skal annonseres, men det er svært usikkert om disse vil ha kriterier som kan dekke dette prosjektet.</w:t>
      </w:r>
    </w:p>
    <w:p w14:paraId="38E51487" w14:textId="475156C9" w:rsidR="0070507F" w:rsidRDefault="0070507F"/>
    <w:p w14:paraId="167B2B66" w14:textId="079D4992" w:rsidR="0070507F" w:rsidRDefault="0070507F">
      <w:r>
        <w:t xml:space="preserve">Imidlertid søkes det på prosjektutviklingsstøtte fra Viken nå i juni på 200.000 kroner. Svar på søknaden er ventet over sommeren.  Om prosjektet får utviklingsstøtte, vil det sikre en avgjørende kunnskapsinnsamling og analyse av </w:t>
      </w:r>
      <w:r w:rsidR="004718F7">
        <w:t xml:space="preserve">et utvalg av </w:t>
      </w:r>
      <w:r>
        <w:t xml:space="preserve">eksisterende nasjonale og internasjonale kommunale handlingsplaner. Dette forprosjektet vil være svært viktig i utviklingen av hovedprosjektet, og kan allerede på nyåret 2021 gi politiske og administrative anbefalinger om inkludering av LHBT-innbyggere i Follo og innspill til utvikling av kommunale </w:t>
      </w:r>
      <w:r w:rsidR="004718F7">
        <w:t xml:space="preserve">tiltak og </w:t>
      </w:r>
      <w:r>
        <w:t>tjeneste</w:t>
      </w:r>
      <w:r w:rsidR="004718F7">
        <w:t>r</w:t>
      </w:r>
      <w:r>
        <w:t xml:space="preserve">. Om ikke Viken bevilger prosjektutviklingsstøtte, så vil dette </w:t>
      </w:r>
      <w:r w:rsidR="00CB2B84">
        <w:t>arbeidet bli en del av hovedprosjektet.</w:t>
      </w:r>
    </w:p>
    <w:p w14:paraId="6886174D" w14:textId="7B38DFA1" w:rsidR="00CB2B84" w:rsidRDefault="00CB2B84"/>
    <w:p w14:paraId="4FE80A97" w14:textId="11492A55" w:rsidR="00CB2B84" w:rsidRDefault="00CB2B84">
      <w:r>
        <w:t xml:space="preserve">En tredje mulighet for finansiering er bidrag fra kommunene som ønsker å delta. Med budsjettet som presenteres nå, vil </w:t>
      </w:r>
      <w:r w:rsidR="009F7DC5">
        <w:t xml:space="preserve">prosjektet være fullfinansiert med </w:t>
      </w:r>
      <w:r>
        <w:t>årlig bidrag på 60.000 kroner år</w:t>
      </w:r>
      <w:r w:rsidR="009F7DC5">
        <w:t xml:space="preserve"> fra alle seks kommuner de neste fire årene</w:t>
      </w:r>
      <w:r>
        <w:t>. Om det er aktuelt, så vil prosjektet blant annet stå svært fritt til å skreddersys de kommunale behovene vi vil se underveis, og prosjektet kan starte allerede 1. januar 2021.</w:t>
      </w:r>
    </w:p>
    <w:p w14:paraId="1CA4A55A" w14:textId="736828A9" w:rsidR="00F9255E" w:rsidRDefault="00F9255E"/>
    <w:p w14:paraId="7DECD9B8" w14:textId="58EADBC5" w:rsidR="00F9255E" w:rsidRDefault="00F9255E">
      <w:r>
        <w:t>De fire fasene som følger av prosjektet i dag er:</w:t>
      </w:r>
    </w:p>
    <w:p w14:paraId="44FE046F" w14:textId="5FFCF76E" w:rsidR="00F9255E" w:rsidRDefault="00F9255E"/>
    <w:p w14:paraId="06AD2064" w14:textId="3006D841" w:rsidR="00F9255E" w:rsidRDefault="00F9255E">
      <w:r>
        <w:t>1. Analyse og sammenligning av eksisterende nasjonale og internasjonale handlingsplaner oppsummert i anbefalinger</w:t>
      </w:r>
    </w:p>
    <w:p w14:paraId="50307DD0" w14:textId="2B1C7416" w:rsidR="00F9255E" w:rsidRDefault="00F9255E">
      <w:r>
        <w:t>2. Forskning</w:t>
      </w:r>
      <w:r w:rsidR="007D4F01">
        <w:t xml:space="preserve"> på lokale LHBT-innbyggere i Follo, deres levekår, møte med kommunene, og forventninger til kommunene</w:t>
      </w:r>
    </w:p>
    <w:p w14:paraId="1CD1E32C" w14:textId="312A8F75" w:rsidR="00F9255E" w:rsidRDefault="00F9255E">
      <w:r>
        <w:t>3.</w:t>
      </w:r>
      <w:r w:rsidR="007D4F01">
        <w:t xml:space="preserve"> Forskning på hvordan kommunene møter LHBT-innbyggere i dag, relevante ansattes kunnskap og behov fremover</w:t>
      </w:r>
    </w:p>
    <w:p w14:paraId="6C9195E9" w14:textId="608A43D4" w:rsidR="00F9255E" w:rsidRDefault="00F9255E">
      <w:r>
        <w:t xml:space="preserve">4. </w:t>
      </w:r>
      <w:r w:rsidR="007D4F01">
        <w:t>Utvikling av skreddersydde handlingsplaner og utvikling av Follo-modellen for å kommunenes mobilisering av minoritetsinnbyggere.</w:t>
      </w:r>
    </w:p>
    <w:p w14:paraId="25428B5F" w14:textId="04E98CF6" w:rsidR="005C444C" w:rsidRDefault="005C444C"/>
    <w:p w14:paraId="0ED17DDB" w14:textId="77777777" w:rsidR="005C444C" w:rsidRDefault="005C444C"/>
    <w:p w14:paraId="7BC7C5BA" w14:textId="39F96E87" w:rsidR="005C444C" w:rsidRDefault="005C444C"/>
    <w:p w14:paraId="3111F18F" w14:textId="186CBD7D" w:rsidR="005C444C" w:rsidRDefault="005C444C"/>
    <w:p w14:paraId="1EAE2347" w14:textId="198C1D7B" w:rsidR="005C444C" w:rsidRDefault="005C444C"/>
    <w:p w14:paraId="2F53C47D" w14:textId="3BA5A9DB" w:rsidR="005C444C" w:rsidRDefault="005C444C"/>
    <w:p w14:paraId="73FB15A9" w14:textId="77777777" w:rsidR="005C444C" w:rsidRDefault="005C444C"/>
    <w:tbl>
      <w:tblPr>
        <w:tblpPr w:leftFromText="141" w:rightFromText="141" w:vertAnchor="page" w:horzAnchor="margin" w:tblpXSpec="center" w:tblpY="1816"/>
        <w:tblW w:w="12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1076"/>
        <w:gridCol w:w="1076"/>
        <w:gridCol w:w="1076"/>
        <w:gridCol w:w="1076"/>
        <w:gridCol w:w="1076"/>
        <w:gridCol w:w="1396"/>
      </w:tblGrid>
      <w:tr w:rsidR="003949A9" w:rsidRPr="003949A9" w14:paraId="526B373F" w14:textId="77777777" w:rsidTr="003949A9">
        <w:trPr>
          <w:trHeight w:val="48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274A20B" w14:textId="77777777" w:rsidR="003949A9" w:rsidRPr="003949A9" w:rsidRDefault="003949A9" w:rsidP="003949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Budsjettforslag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F79344C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7D81935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84BEFAE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436AF91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0FA20D8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6CAF023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3949A9" w:rsidRPr="003949A9" w14:paraId="4912603E" w14:textId="77777777" w:rsidTr="003949A9">
        <w:trPr>
          <w:trHeight w:val="64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6333F21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Kostnader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2709CDA0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2021       10 </w:t>
            </w:r>
            <w:proofErr w:type="spellStart"/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mnd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2237AF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BF1622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C0DCDC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33E5BAD7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2025        2mnd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3D988F" w14:textId="77777777" w:rsidR="003949A9" w:rsidRPr="003949A9" w:rsidRDefault="003949A9" w:rsidP="003949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Total</w:t>
            </w:r>
          </w:p>
        </w:tc>
      </w:tr>
      <w:tr w:rsidR="003949A9" w:rsidRPr="003949A9" w14:paraId="50F3A994" w14:textId="77777777" w:rsidTr="003949A9">
        <w:trPr>
          <w:trHeight w:val="74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1080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Personal og indirekte kostnader (overhead og sosiale kostnader) for kandidat Jon Martin Larsen i 75 % stilling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081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714727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52F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871395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A44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885338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9367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899503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A1F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152316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E5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3523279</w:t>
            </w:r>
          </w:p>
        </w:tc>
      </w:tr>
      <w:tr w:rsidR="003949A9" w:rsidRPr="003949A9" w14:paraId="0D39D3BD" w14:textId="77777777" w:rsidTr="003949A9">
        <w:trPr>
          <w:trHeight w:val="64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662A" w14:textId="48690C6C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Direkteutgifter knyttet til eventuelle innkjøp av utstyr</w:t>
            </w:r>
            <w:r w:rsidR="004449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, undersøkelser</w:t>
            </w: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og reisekostnader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31B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80000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AEF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130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C8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DA8D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20000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061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400000</w:t>
            </w:r>
          </w:p>
        </w:tc>
      </w:tr>
      <w:tr w:rsidR="003949A9" w:rsidRPr="003949A9" w14:paraId="07EA1EAF" w14:textId="77777777" w:rsidTr="003949A9">
        <w:trPr>
          <w:trHeight w:val="44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A74A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Biveiledere Høyskolen Kristiania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37A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55000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10E1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68000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857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69000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1EA5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70000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F73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12000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A867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274000</w:t>
            </w:r>
          </w:p>
        </w:tc>
      </w:tr>
      <w:tr w:rsidR="003949A9" w:rsidRPr="003949A9" w14:paraId="1DF7A566" w14:textId="77777777" w:rsidTr="003949A9">
        <w:trPr>
          <w:trHeight w:val="500"/>
        </w:trPr>
        <w:tc>
          <w:tcPr>
            <w:tcW w:w="53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BA7D9F2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Totale kostnader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DF7F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849727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AE905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1039395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558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1054338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3D4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1069503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EF6F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184316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42BA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4197279</w:t>
            </w:r>
          </w:p>
        </w:tc>
      </w:tr>
      <w:tr w:rsidR="003949A9" w:rsidRPr="003949A9" w14:paraId="10D85545" w14:textId="77777777" w:rsidTr="003949A9">
        <w:trPr>
          <w:trHeight w:val="32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10D00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5C4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EBC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46B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9B5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09D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B65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949A9" w:rsidRPr="003949A9" w14:paraId="0720E25A" w14:textId="77777777" w:rsidTr="003949A9">
        <w:trPr>
          <w:trHeight w:val="32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64BEA0B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Dekking av kostnader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E87C1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8AD632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82943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3B4CC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BDE8F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5F5BB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3949A9" w:rsidRPr="003949A9" w14:paraId="45D40AB4" w14:textId="77777777" w:rsidTr="003949A9">
        <w:trPr>
          <w:trHeight w:val="32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3AE4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Sparebankstiftelsen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E60A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350000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E3B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425000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518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425000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F159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425000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9ED3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75000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708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1700000</w:t>
            </w:r>
          </w:p>
        </w:tc>
      </w:tr>
      <w:tr w:rsidR="003949A9" w:rsidRPr="003949A9" w14:paraId="18655C36" w14:textId="77777777" w:rsidTr="003949A9">
        <w:trPr>
          <w:trHeight w:val="64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6B56" w14:textId="32DE43F0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Egeninnsats Høyskolen Kristiania inkl. dekking av kontorplass</w:t>
            </w:r>
            <w:r w:rsidR="009851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, kvalitetssikring</w:t>
            </w: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og lønn til biveiledere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B2D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242500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8DC8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293000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2BB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294000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7F0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295000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161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49500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55C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1174000</w:t>
            </w:r>
          </w:p>
        </w:tc>
      </w:tr>
      <w:tr w:rsidR="003949A9" w:rsidRPr="003949A9" w14:paraId="4A06AF59" w14:textId="77777777" w:rsidTr="003949A9">
        <w:trPr>
          <w:trHeight w:val="340"/>
        </w:trPr>
        <w:tc>
          <w:tcPr>
            <w:tcW w:w="53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38F4988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Total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8594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592500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47D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718000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20F2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719000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E611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720000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E148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124500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6F74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  <w:t>2874000</w:t>
            </w:r>
          </w:p>
        </w:tc>
      </w:tr>
      <w:tr w:rsidR="003949A9" w:rsidRPr="003949A9" w14:paraId="0ADC5B39" w14:textId="77777777" w:rsidTr="003949A9">
        <w:trPr>
          <w:trHeight w:val="32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CCFC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CFB6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762D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5F8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8B8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EB94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359" w14:textId="77777777" w:rsidR="003949A9" w:rsidRPr="003949A9" w:rsidRDefault="003949A9" w:rsidP="00394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949A9" w:rsidRPr="003949A9" w14:paraId="7212100C" w14:textId="77777777" w:rsidTr="003949A9">
        <w:trPr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A43DAC" w14:textId="77777777" w:rsidR="003949A9" w:rsidRPr="003949A9" w:rsidRDefault="003949A9" w:rsidP="003949A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Gjenstår å finansiere opp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ED085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23A69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B79B8C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715AF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7D3E3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3861F0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3949A9" w:rsidRPr="003949A9" w14:paraId="2D8B7B86" w14:textId="77777777" w:rsidTr="003949A9">
        <w:trPr>
          <w:trHeight w:val="320"/>
        </w:trPr>
        <w:tc>
          <w:tcPr>
            <w:tcW w:w="53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9FE90B9" w14:textId="77777777" w:rsidR="003949A9" w:rsidRPr="003949A9" w:rsidRDefault="003949A9" w:rsidP="003949A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Total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E67D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257227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4F15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321395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B445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335338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742A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349503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03278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59816</w:t>
            </w: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FCD0" w14:textId="77777777" w:rsidR="003949A9" w:rsidRPr="003949A9" w:rsidRDefault="003949A9" w:rsidP="003949A9">
            <w:pPr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</w:pPr>
            <w:r w:rsidRPr="003949A9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nb-NO"/>
              </w:rPr>
              <w:t>1323279</w:t>
            </w:r>
          </w:p>
        </w:tc>
      </w:tr>
    </w:tbl>
    <w:p w14:paraId="5B0E93DA" w14:textId="77777777" w:rsidR="003949A9" w:rsidRDefault="003949A9"/>
    <w:p w14:paraId="594AF9AC" w14:textId="77777777" w:rsidR="003949A9" w:rsidRDefault="003949A9"/>
    <w:sectPr w:rsidR="003949A9" w:rsidSect="00B839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9"/>
    <w:rsid w:val="002C37CE"/>
    <w:rsid w:val="003949A9"/>
    <w:rsid w:val="004449F3"/>
    <w:rsid w:val="004718F7"/>
    <w:rsid w:val="00553F65"/>
    <w:rsid w:val="005C444C"/>
    <w:rsid w:val="0070507F"/>
    <w:rsid w:val="007D4F01"/>
    <w:rsid w:val="00961C69"/>
    <w:rsid w:val="0098511C"/>
    <w:rsid w:val="009F7DC5"/>
    <w:rsid w:val="00B83932"/>
    <w:rsid w:val="00CB2B84"/>
    <w:rsid w:val="00CC0268"/>
    <w:rsid w:val="00F169F6"/>
    <w:rsid w:val="00F4217B"/>
    <w:rsid w:val="00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0A46"/>
  <w15:chartTrackingRefBased/>
  <w15:docId w15:val="{2B8DC8D8-DDF2-AC4C-8A1E-9AA5B8E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90E03E596C641A780179E9F6FF0FB" ma:contentTypeVersion="10" ma:contentTypeDescription="Create a new document." ma:contentTypeScope="" ma:versionID="a19875fb126c6be338c6015495a836d1">
  <xsd:schema xmlns:xsd="http://www.w3.org/2001/XMLSchema" xmlns:xs="http://www.w3.org/2001/XMLSchema" xmlns:p="http://schemas.microsoft.com/office/2006/metadata/properties" xmlns:ns3="e7b4f95c-6af4-4005-a55a-e73a6f304258" xmlns:ns4="9fff7c7f-bda4-4700-bc7e-40eb28fd79ca" targetNamespace="http://schemas.microsoft.com/office/2006/metadata/properties" ma:root="true" ma:fieldsID="f49cd70ac4406a79de577d0d77a794eb" ns3:_="" ns4:_="">
    <xsd:import namespace="e7b4f95c-6af4-4005-a55a-e73a6f304258"/>
    <xsd:import namespace="9fff7c7f-bda4-4700-bc7e-40eb28fd79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4f95c-6af4-4005-a55a-e73a6f3042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7c7f-bda4-4700-bc7e-40eb28fd7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0A61B-4639-4DD7-9AFE-2A5C9D733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4f95c-6af4-4005-a55a-e73a6f304258"/>
    <ds:schemaRef ds:uri="9fff7c7f-bda4-4700-bc7e-40eb28fd7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D597B-0710-4208-9B00-D297B5D1D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FF92A-5BCE-40A9-9DDF-C89D8935A7E4}">
  <ds:schemaRefs>
    <ds:schemaRef ds:uri="http://purl.org/dc/dcmitype/"/>
    <ds:schemaRef ds:uri="9fff7c7f-bda4-4700-bc7e-40eb28fd79ca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7b4f95c-6af4-4005-a55a-e73a6f304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Svanemyr Eriksen</dc:creator>
  <cp:keywords/>
  <dc:description/>
  <cp:lastModifiedBy>Kari Marie Swensen</cp:lastModifiedBy>
  <cp:revision>3</cp:revision>
  <cp:lastPrinted>2020-05-29T13:01:00Z</cp:lastPrinted>
  <dcterms:created xsi:type="dcterms:W3CDTF">2020-05-29T13:01:00Z</dcterms:created>
  <dcterms:modified xsi:type="dcterms:W3CDTF">2020-05-29T13:01:00Z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0x010100F3D90E03E596C641A780179E9F6FF0FB</vt:lpwstr>
  </property>
</Properties>
</file>